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1" name="image2.png"/>
                  <a:graphic>
                    <a:graphicData uri="http://schemas.openxmlformats.org/drawingml/2006/picture">
                      <pic:pic>
                        <pic:nvPicPr>
                          <pic:cNvPr descr="Text Box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Village Hall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4th April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12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28/3/18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REVIEW OF RETENTION OF DOCUMENTS &amp; RECORDS MANAGEMENT POLICIES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highlight w:val="white"/>
                <w:rtl w:val="0"/>
              </w:rPr>
              <w:t xml:space="preserve">CONFIRM DETAILS OF ANNUAL PARISH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lerk@budbrookepc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